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0B" w:rsidRDefault="0091560B" w:rsidP="0091560B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91560B" w:rsidRDefault="0091560B" w:rsidP="0091560B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91560B" w:rsidRDefault="0091560B" w:rsidP="0091560B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65B0E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91560B" w:rsidRDefault="0091560B" w:rsidP="0091560B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028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МИ/НР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91560B" w:rsidRDefault="0091560B" w:rsidP="0091560B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 xml:space="preserve">Формиране на единни номера на избирателните секции в община Божурище     </w:t>
      </w:r>
    </w:p>
    <w:p w:rsidR="0091560B" w:rsidRDefault="0091560B" w:rsidP="0091560B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1560B" w:rsidRDefault="0091560B" w:rsidP="0091560B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</w:p>
    <w:p w:rsidR="0091560B" w:rsidRPr="0091560B" w:rsidRDefault="0091560B" w:rsidP="0091560B">
      <w:pPr>
        <w:pStyle w:val="NoSpacing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hAnsi="Arial" w:cs="Arial"/>
          <w:sz w:val="28"/>
          <w:szCs w:val="28"/>
        </w:rPr>
        <w:t xml:space="preserve">На основание чл. 87 ал. 1 т. 7 и чл. 8 ал. 8 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формира следните единни номера на избирателните секции /без ПСИК/, според единната номерация на секциите в община Божурище както следва:</w:t>
      </w:r>
    </w:p>
    <w:p w:rsidR="0091560B" w:rsidRPr="0091560B" w:rsidRDefault="0091560B" w:rsidP="0091560B">
      <w:pPr>
        <w:pStyle w:val="NoSpacing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230600001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нова сграда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230600002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нова сграда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230600003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стара сграда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230600004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нов квартал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230600005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стара сграда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230600006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Пролеша;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230600007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Хераково;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lastRenderedPageBreak/>
        <w:t xml:space="preserve">230600008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Храбърско;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230600009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Гурмазово;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230600010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Пожарево;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230600011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Росоман;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230600012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с. Златуша;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 сградата на кметството</w:t>
      </w:r>
    </w:p>
    <w:p w:rsidR="0091560B" w:rsidRPr="0091560B" w:rsidRDefault="0091560B" w:rsidP="0091560B">
      <w:pPr>
        <w:spacing w:after="21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230600013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НАСЕЛЕНО МЯСТО-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 xml:space="preserve"> гр. Божурище; </w:t>
      </w:r>
      <w:r w:rsidRPr="0091560B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Адрес на секцията</w:t>
      </w:r>
      <w:r w:rsidRPr="0091560B">
        <w:rPr>
          <w:rFonts w:ascii="Arial" w:eastAsia="Times New Roman" w:hAnsi="Arial" w:cs="Arial"/>
          <w:color w:val="333333"/>
          <w:sz w:val="28"/>
          <w:szCs w:val="28"/>
          <w:lang w:eastAsia="bg-BG"/>
        </w:rPr>
        <w:t>:гр. Божурище , СОУ „Летец Христо Топракчиев“ – нов квартал</w:t>
      </w:r>
    </w:p>
    <w:p w:rsidR="0091560B" w:rsidRPr="0091560B" w:rsidRDefault="0091560B" w:rsidP="0091560B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1560B">
        <w:rPr>
          <w:rFonts w:ascii="Arial" w:hAnsi="Arial" w:cs="Arial"/>
          <w:sz w:val="28"/>
          <w:szCs w:val="28"/>
          <w:lang w:eastAsia="bg-BG"/>
        </w:rPr>
        <w:t>Решението подлежи на обжалване пред Централна избирателна комисия в тридневен срок от обявяването му.</w:t>
      </w:r>
    </w:p>
    <w:p w:rsidR="0091560B" w:rsidRDefault="0091560B" w:rsidP="0091560B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1560B" w:rsidRDefault="0091560B" w:rsidP="0091560B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91560B" w:rsidRDefault="0091560B" w:rsidP="0091560B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91560B" w:rsidRDefault="0091560B" w:rsidP="0091560B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1560B" w:rsidRDefault="0091560B" w:rsidP="0091560B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91560B" w:rsidRDefault="0091560B" w:rsidP="0091560B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EB4B96" w:rsidRDefault="0091560B" w:rsidP="0091560B">
      <w:pPr>
        <w:shd w:val="clear" w:color="auto" w:fill="FEFEFE"/>
        <w:spacing w:after="240" w:line="337" w:lineRule="atLeast"/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sectPr w:rsidR="00EB4B96" w:rsidSect="00E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560B"/>
    <w:rsid w:val="0091560B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0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91560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560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2015-09-12T13:41:00Z</dcterms:created>
  <dcterms:modified xsi:type="dcterms:W3CDTF">2015-09-12T13:45:00Z</dcterms:modified>
</cp:coreProperties>
</file>